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Name: _____________________________________________________ Period: 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Active Reading through Assessment Creating</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Directions: After reading </w:t>
      </w:r>
      <w:r w:rsidDel="00000000" w:rsidR="00000000" w:rsidRPr="00000000">
        <w:rPr>
          <w:i w:val="1"/>
          <w:rtl w:val="0"/>
        </w:rPr>
        <w:t xml:space="preserve">Exploring the Titanic </w:t>
      </w:r>
      <w:r w:rsidDel="00000000" w:rsidR="00000000" w:rsidRPr="00000000">
        <w:rPr>
          <w:rtl w:val="0"/>
        </w:rPr>
        <w:t xml:space="preserve">by Robert D. Ballard in the literature books, create an assessment (test) that somebody else has read the article could take.  By creating this test, you are helping your active reading, or the reading that you do that keeps you questioning and involved with a text as you read.  This is a great skill to have when reading informational texts.  Your questions must show that you have read the article and put thought and effort into your questions and answers.  You may work on this with one partner.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Question 1: 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Question 2: 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Question 3: 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Question 4: 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Question 5: 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________________________________________________________________________________________</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  </w:t>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