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sz w:val="28"/>
          <w:szCs w:val="28"/>
          <w:rtl w:val="0"/>
        </w:rPr>
        <w:t xml:space="preserve">Text Features Interactive Notebook</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Directions:  Today you will be using magazines to create a page of text features in your notebook.  You will need to label each of the text features once you glue them into your notebook.  The page does not need to match, but you will need to include an example of each of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Heading</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Subheading</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Sidebar</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Image and caption</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Footnote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Italicized word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Bolded word</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Text</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